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hint="eastAsia" w:ascii="方正小标宋_GBK" w:hAnsi="方正小标宋_GBK" w:eastAsia="方正小标宋_GBK" w:cs="方正小标宋_GBK"/>
          <w:spacing w:val="-7"/>
          <w:sz w:val="48"/>
          <w:szCs w:val="48"/>
        </w:rPr>
      </w:pPr>
    </w:p>
    <w:p>
      <w:pPr>
        <w:adjustRightInd w:val="0"/>
        <w:snapToGrid w:val="0"/>
        <w:jc w:val="center"/>
        <w:rPr>
          <w:rFonts w:hint="eastAsia" w:ascii="方正小标宋_GBK" w:hAnsi="方正小标宋_GBK" w:eastAsia="方正小标宋_GBK" w:cs="方正小标宋_GBK"/>
          <w:spacing w:val="-7"/>
          <w:sz w:val="48"/>
          <w:szCs w:val="48"/>
        </w:rPr>
      </w:pPr>
      <w:r>
        <w:rPr>
          <w:rFonts w:hint="eastAsia" w:ascii="方正小标宋_GBK" w:hAnsi="方正小标宋_GBK" w:eastAsia="方正小标宋_GBK" w:cs="方正小标宋_GBK"/>
          <w:spacing w:val="-7"/>
          <w:sz w:val="48"/>
          <w:szCs w:val="48"/>
        </w:rPr>
        <w:t>宝鸡市优化建设项目环境影响评价分类管理</w:t>
      </w:r>
    </w:p>
    <w:p>
      <w:pPr>
        <w:adjustRightInd w:val="0"/>
        <w:snapToGrid w:val="0"/>
        <w:jc w:val="center"/>
        <w:rPr>
          <w:rFonts w:hint="eastAsia" w:ascii="方正小标宋_GBK" w:hAnsi="方正小标宋_GBK" w:eastAsia="方正小标宋_GBK" w:cs="方正小标宋_GBK"/>
          <w:spacing w:val="-7"/>
          <w:sz w:val="48"/>
          <w:szCs w:val="48"/>
        </w:rPr>
      </w:pPr>
      <w:r>
        <w:rPr>
          <w:rFonts w:hint="eastAsia" w:ascii="方正小标宋_GBK" w:hAnsi="方正小标宋_GBK" w:eastAsia="方正小标宋_GBK" w:cs="方正小标宋_GBK"/>
          <w:spacing w:val="-7"/>
          <w:sz w:val="48"/>
          <w:szCs w:val="48"/>
        </w:rPr>
        <w:t>试点行业环境准入指引</w:t>
      </w:r>
    </w:p>
    <w:p>
      <w:pPr>
        <w:adjustRightInd w:val="0"/>
        <w:snapToGrid w:val="0"/>
        <w:jc w:val="center"/>
        <w:rPr>
          <w:rFonts w:hint="eastAsia" w:ascii="方正小标宋_GBK" w:hAnsi="方正小标宋_GBK" w:eastAsia="方正小标宋_GBK" w:cs="方正小标宋_GBK"/>
          <w:spacing w:val="-7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pacing w:val="-7"/>
          <w:sz w:val="44"/>
          <w:szCs w:val="44"/>
        </w:rPr>
        <w:t>（14</w:t>
      </w:r>
      <w:r>
        <w:rPr>
          <w:rFonts w:hint="eastAsia" w:ascii="方正小标宋_GBK" w:hAnsi="方正小标宋_GBK" w:eastAsia="方正小标宋_GBK" w:cs="方正小标宋_GBK"/>
          <w:spacing w:val="-7"/>
          <w:sz w:val="44"/>
          <w:szCs w:val="44"/>
          <w:lang w:eastAsia="zh-CN"/>
        </w:rPr>
        <w:t>、</w:t>
      </w:r>
      <w:r>
        <w:rPr>
          <w:rFonts w:hint="eastAsia" w:ascii="方正小标宋_GBK" w:hAnsi="方正小标宋_GBK" w:eastAsia="方正小标宋_GBK" w:cs="方正小标宋_GBK"/>
          <w:spacing w:val="-7"/>
          <w:sz w:val="44"/>
          <w:szCs w:val="44"/>
        </w:rPr>
        <w:t>纺织业）</w:t>
      </w:r>
    </w:p>
    <w:p>
      <w:pPr>
        <w:adjustRightInd w:val="0"/>
        <w:snapToGrid w:val="0"/>
        <w:jc w:val="center"/>
        <w:rPr>
          <w:rFonts w:hint="eastAsia" w:ascii="方正小标宋_GBK" w:hAnsi="方正小标宋_GBK" w:eastAsia="方正小标宋_GBK" w:cs="方正小标宋_GBK"/>
          <w:spacing w:val="-7"/>
          <w:sz w:val="36"/>
          <w:szCs w:val="36"/>
        </w:rPr>
      </w:pPr>
    </w:p>
    <w:p>
      <w:pPr>
        <w:adjustRightInd w:val="0"/>
        <w:snapToGrid w:val="0"/>
        <w:jc w:val="center"/>
        <w:rPr>
          <w:rFonts w:hint="eastAsia" w:ascii="方正小标宋_GBK" w:hAnsi="方正小标宋_GBK" w:eastAsia="方正小标宋_GBK" w:cs="方正小标宋_GBK"/>
          <w:spacing w:val="-7"/>
          <w:sz w:val="36"/>
          <w:szCs w:val="36"/>
        </w:rPr>
      </w:pPr>
    </w:p>
    <w:p>
      <w:pPr>
        <w:adjustRightInd w:val="0"/>
        <w:snapToGrid w:val="0"/>
        <w:jc w:val="center"/>
        <w:rPr>
          <w:rFonts w:hint="eastAsia" w:ascii="方正小标宋_GBK" w:hAnsi="方正小标宋_GBK" w:eastAsia="方正小标宋_GBK" w:cs="方正小标宋_GBK"/>
          <w:spacing w:val="-7"/>
          <w:sz w:val="36"/>
          <w:szCs w:val="36"/>
        </w:rPr>
      </w:pPr>
    </w:p>
    <w:p>
      <w:pPr>
        <w:adjustRightInd w:val="0"/>
        <w:snapToGrid w:val="0"/>
        <w:jc w:val="center"/>
        <w:rPr>
          <w:rFonts w:hint="eastAsia" w:ascii="方正小标宋_GBK" w:hAnsi="方正小标宋_GBK" w:eastAsia="方正小标宋_GBK" w:cs="方正小标宋_GBK"/>
          <w:spacing w:val="-7"/>
          <w:sz w:val="36"/>
          <w:szCs w:val="36"/>
        </w:rPr>
      </w:pPr>
    </w:p>
    <w:p>
      <w:pPr>
        <w:adjustRightInd w:val="0"/>
        <w:snapToGrid w:val="0"/>
        <w:jc w:val="center"/>
        <w:rPr>
          <w:rFonts w:hint="eastAsia" w:ascii="方正小标宋_GBK" w:hAnsi="方正小标宋_GBK" w:eastAsia="方正小标宋_GBK" w:cs="方正小标宋_GBK"/>
          <w:spacing w:val="-7"/>
          <w:sz w:val="36"/>
          <w:szCs w:val="36"/>
        </w:rPr>
      </w:pPr>
    </w:p>
    <w:p>
      <w:pPr>
        <w:adjustRightInd w:val="0"/>
        <w:snapToGrid w:val="0"/>
        <w:jc w:val="center"/>
        <w:rPr>
          <w:rFonts w:hint="eastAsia" w:ascii="方正小标宋_GBK" w:hAnsi="方正小标宋_GBK" w:eastAsia="方正小标宋_GBK" w:cs="方正小标宋_GBK"/>
          <w:spacing w:val="-7"/>
          <w:sz w:val="36"/>
          <w:szCs w:val="36"/>
        </w:rPr>
      </w:pPr>
    </w:p>
    <w:p>
      <w:pPr>
        <w:adjustRightInd w:val="0"/>
        <w:snapToGrid w:val="0"/>
        <w:jc w:val="center"/>
        <w:rPr>
          <w:rFonts w:hint="eastAsia" w:ascii="方正小标宋_GBK" w:hAnsi="方正小标宋_GBK" w:eastAsia="方正小标宋_GBK" w:cs="方正小标宋_GBK"/>
          <w:spacing w:val="-7"/>
          <w:sz w:val="36"/>
          <w:szCs w:val="36"/>
        </w:rPr>
      </w:pPr>
    </w:p>
    <w:p>
      <w:pPr>
        <w:adjustRightInd w:val="0"/>
        <w:snapToGrid w:val="0"/>
        <w:jc w:val="center"/>
        <w:rPr>
          <w:rFonts w:hint="eastAsia" w:ascii="方正小标宋_GBK" w:hAnsi="方正小标宋_GBK" w:eastAsia="方正小标宋_GBK" w:cs="方正小标宋_GBK"/>
          <w:spacing w:val="-7"/>
          <w:sz w:val="36"/>
          <w:szCs w:val="36"/>
        </w:rPr>
      </w:pPr>
    </w:p>
    <w:p>
      <w:pPr>
        <w:adjustRightInd w:val="0"/>
        <w:snapToGrid w:val="0"/>
        <w:jc w:val="center"/>
        <w:rPr>
          <w:rFonts w:hint="eastAsia" w:ascii="方正小标宋_GBK" w:hAnsi="方正小标宋_GBK" w:eastAsia="方正小标宋_GBK" w:cs="方正小标宋_GBK"/>
          <w:spacing w:val="-7"/>
          <w:sz w:val="36"/>
          <w:szCs w:val="36"/>
        </w:rPr>
      </w:pPr>
    </w:p>
    <w:p>
      <w:pPr>
        <w:adjustRightInd w:val="0"/>
        <w:snapToGrid w:val="0"/>
        <w:jc w:val="center"/>
        <w:rPr>
          <w:rFonts w:hint="eastAsia" w:ascii="方正小标宋_GBK" w:hAnsi="方正小标宋_GBK" w:eastAsia="方正小标宋_GBK" w:cs="方正小标宋_GBK"/>
          <w:spacing w:val="-7"/>
          <w:sz w:val="36"/>
          <w:szCs w:val="36"/>
        </w:rPr>
      </w:pPr>
    </w:p>
    <w:p>
      <w:pPr>
        <w:adjustRightInd w:val="0"/>
        <w:snapToGrid w:val="0"/>
        <w:jc w:val="center"/>
        <w:rPr>
          <w:rFonts w:hint="eastAsia" w:ascii="方正小标宋_GBK" w:hAnsi="方正小标宋_GBK" w:eastAsia="方正小标宋_GBK" w:cs="方正小标宋_GBK"/>
          <w:spacing w:val="-7"/>
          <w:sz w:val="36"/>
          <w:szCs w:val="36"/>
        </w:rPr>
      </w:pPr>
    </w:p>
    <w:p>
      <w:pPr>
        <w:adjustRightInd w:val="0"/>
        <w:snapToGrid w:val="0"/>
        <w:jc w:val="center"/>
        <w:rPr>
          <w:rFonts w:hint="eastAsia" w:ascii="方正小标宋_GBK" w:hAnsi="方正小标宋_GBK" w:eastAsia="方正小标宋_GBK" w:cs="方正小标宋_GBK"/>
          <w:spacing w:val="-7"/>
          <w:sz w:val="36"/>
          <w:szCs w:val="36"/>
        </w:rPr>
      </w:pPr>
    </w:p>
    <w:p>
      <w:pPr>
        <w:adjustRightInd w:val="0"/>
        <w:snapToGrid w:val="0"/>
        <w:jc w:val="center"/>
        <w:rPr>
          <w:rFonts w:hint="eastAsia" w:ascii="方正小标宋_GBK" w:hAnsi="方正小标宋_GBK" w:eastAsia="方正小标宋_GBK" w:cs="方正小标宋_GBK"/>
          <w:spacing w:val="-7"/>
          <w:sz w:val="36"/>
          <w:szCs w:val="36"/>
        </w:rPr>
      </w:pPr>
    </w:p>
    <w:p>
      <w:pPr>
        <w:adjustRightInd w:val="0"/>
        <w:snapToGrid w:val="0"/>
        <w:jc w:val="center"/>
        <w:rPr>
          <w:rFonts w:hint="eastAsia" w:ascii="方正小标宋_GBK" w:hAnsi="方正小标宋_GBK" w:eastAsia="方正小标宋_GBK" w:cs="方正小标宋_GBK"/>
          <w:spacing w:val="-7"/>
          <w:sz w:val="36"/>
          <w:szCs w:val="36"/>
        </w:rPr>
      </w:pPr>
      <w:bookmarkStart w:id="92" w:name="_GoBack"/>
      <w:bookmarkEnd w:id="92"/>
    </w:p>
    <w:p>
      <w:pPr>
        <w:adjustRightInd w:val="0"/>
        <w:snapToGrid w:val="0"/>
        <w:jc w:val="center"/>
        <w:rPr>
          <w:rFonts w:hint="eastAsia" w:ascii="方正小标宋_GBK" w:hAnsi="方正小标宋_GBK" w:eastAsia="方正小标宋_GBK" w:cs="方正小标宋_GBK"/>
          <w:spacing w:val="-7"/>
          <w:sz w:val="36"/>
          <w:szCs w:val="36"/>
        </w:rPr>
      </w:pPr>
    </w:p>
    <w:p>
      <w:pPr>
        <w:adjustRightInd w:val="0"/>
        <w:snapToGrid w:val="0"/>
        <w:jc w:val="center"/>
        <w:rPr>
          <w:rFonts w:hint="eastAsia" w:ascii="方正小标宋_GBK" w:hAnsi="方正小标宋_GBK" w:eastAsia="方正小标宋_GBK" w:cs="方正小标宋_GBK"/>
          <w:spacing w:val="-7"/>
          <w:sz w:val="36"/>
          <w:szCs w:val="36"/>
        </w:rPr>
      </w:pPr>
      <w:r>
        <w:rPr>
          <w:rFonts w:ascii="方正小标宋_GBK" w:hAnsi="方正小标宋_GBK" w:eastAsia="方正小标宋_GBK" w:cs="方正小标宋_GBK"/>
          <w:spacing w:val="-7"/>
          <w:sz w:val="36"/>
          <w:szCs w:val="36"/>
        </w:rPr>
        <w:t>宝鸡市生态环境局</w:t>
      </w:r>
    </w:p>
    <w:p>
      <w:pPr>
        <w:adjustRightInd w:val="0"/>
        <w:snapToGrid w:val="0"/>
        <w:jc w:val="center"/>
        <w:rPr>
          <w:rFonts w:hint="eastAsia" w:ascii="方正小标宋_GBK" w:hAnsi="方正小标宋_GBK" w:eastAsia="方正小标宋_GBK" w:cs="方正小标宋_GBK"/>
          <w:spacing w:val="-7"/>
          <w:sz w:val="36"/>
          <w:szCs w:val="36"/>
        </w:rPr>
      </w:pPr>
      <w:r>
        <w:rPr>
          <w:rFonts w:ascii="方正小标宋_GBK" w:hAnsi="方正小标宋_GBK" w:eastAsia="方正小标宋_GBK" w:cs="方正小标宋_GBK"/>
          <w:spacing w:val="-7"/>
          <w:sz w:val="36"/>
          <w:szCs w:val="36"/>
        </w:rPr>
        <w:t>二</w:t>
      </w:r>
      <w:r>
        <w:rPr>
          <w:rFonts w:hint="eastAsia" w:ascii="方正小标宋_GBK" w:hAnsi="方正小标宋_GBK" w:eastAsia="方正小标宋_GBK" w:cs="方正小标宋_GBK"/>
          <w:spacing w:val="-7"/>
          <w:sz w:val="36"/>
          <w:szCs w:val="36"/>
        </w:rPr>
        <w:t>O</w:t>
      </w:r>
      <w:r>
        <w:rPr>
          <w:rFonts w:ascii="方正小标宋_GBK" w:hAnsi="方正小标宋_GBK" w:eastAsia="方正小标宋_GBK" w:cs="方正小标宋_GBK"/>
          <w:spacing w:val="-7"/>
          <w:sz w:val="36"/>
          <w:szCs w:val="36"/>
        </w:rPr>
        <w:t>二</w:t>
      </w:r>
      <w:r>
        <w:rPr>
          <w:rFonts w:hint="eastAsia" w:ascii="方正小标宋_GBK" w:hAnsi="方正小标宋_GBK" w:eastAsia="方正小标宋_GBK" w:cs="方正小标宋_GBK"/>
          <w:spacing w:val="-7"/>
          <w:sz w:val="36"/>
          <w:szCs w:val="36"/>
          <w:lang w:eastAsia="zh-CN"/>
        </w:rPr>
        <w:t>五</w:t>
      </w:r>
      <w:r>
        <w:rPr>
          <w:rFonts w:ascii="方正小标宋_GBK" w:hAnsi="方正小标宋_GBK" w:eastAsia="方正小标宋_GBK" w:cs="方正小标宋_GBK"/>
          <w:spacing w:val="-7"/>
          <w:sz w:val="36"/>
          <w:szCs w:val="36"/>
        </w:rPr>
        <w:t>年</w:t>
      </w:r>
      <w:r>
        <w:rPr>
          <w:rFonts w:hint="eastAsia" w:ascii="方正小标宋_GBK" w:hAnsi="方正小标宋_GBK" w:eastAsia="方正小标宋_GBK" w:cs="方正小标宋_GBK"/>
          <w:spacing w:val="-7"/>
          <w:sz w:val="36"/>
          <w:szCs w:val="36"/>
          <w:lang w:eastAsia="zh-CN"/>
        </w:rPr>
        <w:t>二</w:t>
      </w:r>
      <w:r>
        <w:rPr>
          <w:rFonts w:ascii="方正小标宋_GBK" w:hAnsi="方正小标宋_GBK" w:eastAsia="方正小标宋_GBK" w:cs="方正小标宋_GBK"/>
          <w:spacing w:val="-7"/>
          <w:sz w:val="36"/>
          <w:szCs w:val="36"/>
        </w:rPr>
        <w:t>月</w:t>
      </w:r>
    </w:p>
    <w:p>
      <w:pPr>
        <w:adjustRightInd w:val="0"/>
        <w:snapToGrid w:val="0"/>
        <w:jc w:val="center"/>
        <w:rPr>
          <w:rFonts w:hint="eastAsia" w:ascii="方正小标宋_GBK" w:hAnsi="方正小标宋_GBK" w:eastAsia="方正小标宋_GBK" w:cs="方正小标宋_GBK"/>
          <w:spacing w:val="-7"/>
          <w:sz w:val="36"/>
          <w:szCs w:val="36"/>
        </w:rPr>
        <w:sectPr>
          <w:footerReference r:id="rId3" w:type="default"/>
          <w:pgSz w:w="11906" w:h="16838"/>
          <w:pgMar w:top="2154" w:right="1474" w:bottom="1418" w:left="1474" w:header="851" w:footer="992" w:gutter="0"/>
          <w:pgNumType w:start="1"/>
          <w:cols w:space="425" w:num="1"/>
          <w:docGrid w:type="lines" w:linePitch="312" w:charSpace="0"/>
        </w:sectPr>
      </w:pPr>
    </w:p>
    <w:p>
      <w:pPr>
        <w:adjustRightInd w:val="0"/>
        <w:snapToGrid w:val="0"/>
        <w:jc w:val="center"/>
        <w:rPr>
          <w:rFonts w:hint="eastAsia" w:ascii="方正小标宋_GBK" w:hAnsi="方正小标宋_GBK" w:eastAsia="方正小标宋_GBK" w:cs="方正小标宋_GBK"/>
          <w:spacing w:val="-7"/>
          <w:sz w:val="48"/>
          <w:szCs w:val="48"/>
        </w:rPr>
      </w:pPr>
      <w:r>
        <w:rPr>
          <w:rFonts w:hint="eastAsia" w:ascii="方正小标宋_GBK" w:hAnsi="方正小标宋_GBK" w:eastAsia="方正小标宋_GBK" w:cs="方正小标宋_GBK"/>
          <w:spacing w:val="-7"/>
          <w:sz w:val="48"/>
          <w:szCs w:val="48"/>
        </w:rPr>
        <w:t>目  录</w:t>
      </w:r>
    </w:p>
    <w:p>
      <w:pPr>
        <w:pStyle w:val="8"/>
        <w:tabs>
          <w:tab w:val="right" w:leader="dot" w:pos="9288"/>
        </w:tabs>
        <w:spacing w:line="580" w:lineRule="exact"/>
        <w:rPr>
          <w:rFonts w:ascii="Times New Roman" w:hAnsi="Times New Roman" w:eastAsia="宋体" w:cs="Times New Roman"/>
          <w:spacing w:val="-7"/>
          <w:sz w:val="28"/>
          <w:szCs w:val="28"/>
        </w:rPr>
      </w:pPr>
    </w:p>
    <w:p>
      <w:pPr>
        <w:pStyle w:val="8"/>
        <w:tabs>
          <w:tab w:val="right" w:leader="dot" w:pos="8958"/>
        </w:tabs>
        <w:spacing w:line="560" w:lineRule="exact"/>
        <w:rPr>
          <w:sz w:val="28"/>
          <w:szCs w:val="28"/>
        </w:rPr>
      </w:pPr>
      <w:r>
        <w:rPr>
          <w:rFonts w:ascii="Times New Roman" w:hAnsi="Times New Roman" w:eastAsia="宋体" w:cs="Times New Roman"/>
          <w:spacing w:val="-7"/>
          <w:sz w:val="28"/>
          <w:szCs w:val="28"/>
        </w:rPr>
        <w:fldChar w:fldCharType="begin"/>
      </w:r>
      <w:r>
        <w:rPr>
          <w:rFonts w:ascii="Times New Roman" w:hAnsi="Times New Roman" w:eastAsia="宋体" w:cs="Times New Roman"/>
          <w:spacing w:val="-7"/>
          <w:sz w:val="28"/>
          <w:szCs w:val="28"/>
        </w:rPr>
        <w:instrText xml:space="preserve"> TOC \o "1-3" \u </w:instrText>
      </w:r>
      <w:r>
        <w:rPr>
          <w:rFonts w:ascii="Times New Roman" w:hAnsi="Times New Roman" w:eastAsia="宋体" w:cs="Times New Roman"/>
          <w:spacing w:val="-7"/>
          <w:sz w:val="28"/>
          <w:szCs w:val="28"/>
        </w:rPr>
        <w:fldChar w:fldCharType="separate"/>
      </w:r>
      <w:r>
        <w:rPr>
          <w:rFonts w:hint="eastAsia" w:ascii="黑体" w:hAnsi="黑体" w:eastAsia="黑体"/>
          <w:sz w:val="28"/>
          <w:szCs w:val="28"/>
        </w:rPr>
        <w:t>一、适用范围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PAGEREF _Toc1147079935 \h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>1</w:t>
      </w:r>
      <w:r>
        <w:rPr>
          <w:sz w:val="28"/>
          <w:szCs w:val="28"/>
        </w:rPr>
        <w:fldChar w:fldCharType="end"/>
      </w:r>
    </w:p>
    <w:p>
      <w:pPr>
        <w:pStyle w:val="8"/>
        <w:tabs>
          <w:tab w:val="right" w:leader="dot" w:pos="8958"/>
        </w:tabs>
        <w:spacing w:line="560" w:lineRule="exact"/>
        <w:rPr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二、行业准入要求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PAGEREF _Toc1274708559 \h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>1</w:t>
      </w:r>
      <w:r>
        <w:rPr>
          <w:sz w:val="28"/>
          <w:szCs w:val="28"/>
        </w:rPr>
        <w:fldChar w:fldCharType="end"/>
      </w:r>
    </w:p>
    <w:p>
      <w:pPr>
        <w:pStyle w:val="9"/>
        <w:tabs>
          <w:tab w:val="right" w:leader="dot" w:pos="8958"/>
        </w:tabs>
        <w:spacing w:line="560" w:lineRule="exact"/>
        <w:rPr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2.1 产业政策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PAGEREF _Toc205953617 \h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>1</w:t>
      </w:r>
      <w:r>
        <w:rPr>
          <w:sz w:val="28"/>
          <w:szCs w:val="28"/>
        </w:rPr>
        <w:fldChar w:fldCharType="end"/>
      </w:r>
    </w:p>
    <w:p>
      <w:pPr>
        <w:pStyle w:val="9"/>
        <w:tabs>
          <w:tab w:val="right" w:leader="dot" w:pos="8958"/>
        </w:tabs>
        <w:spacing w:line="560" w:lineRule="exact"/>
        <w:rPr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2.2 规划布局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PAGEREF _Toc653270964 \h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>1</w:t>
      </w:r>
      <w:r>
        <w:rPr>
          <w:sz w:val="28"/>
          <w:szCs w:val="28"/>
        </w:rPr>
        <w:fldChar w:fldCharType="end"/>
      </w:r>
    </w:p>
    <w:p>
      <w:pPr>
        <w:pStyle w:val="9"/>
        <w:tabs>
          <w:tab w:val="right" w:leader="dot" w:pos="8958"/>
        </w:tabs>
        <w:spacing w:line="560" w:lineRule="exact"/>
        <w:rPr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2.3 项目选址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PAGEREF _Toc1699389985 \h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>2</w:t>
      </w:r>
      <w:r>
        <w:rPr>
          <w:sz w:val="28"/>
          <w:szCs w:val="28"/>
        </w:rPr>
        <w:fldChar w:fldCharType="end"/>
      </w:r>
    </w:p>
    <w:p>
      <w:pPr>
        <w:pStyle w:val="8"/>
        <w:tabs>
          <w:tab w:val="right" w:leader="dot" w:pos="8958"/>
        </w:tabs>
        <w:spacing w:line="560" w:lineRule="exact"/>
        <w:rPr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三、资源开发利用效率要求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PAGEREF _Toc1073148819 \h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>2</w:t>
      </w:r>
      <w:r>
        <w:rPr>
          <w:sz w:val="28"/>
          <w:szCs w:val="28"/>
        </w:rPr>
        <w:fldChar w:fldCharType="end"/>
      </w:r>
    </w:p>
    <w:p>
      <w:pPr>
        <w:pStyle w:val="8"/>
        <w:tabs>
          <w:tab w:val="right" w:leader="dot" w:pos="8958"/>
        </w:tabs>
        <w:spacing w:line="560" w:lineRule="exact"/>
        <w:rPr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四、污染防治措施要求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PAGEREF _Toc631318372 \h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>2</w:t>
      </w:r>
      <w:r>
        <w:rPr>
          <w:sz w:val="28"/>
          <w:szCs w:val="28"/>
        </w:rPr>
        <w:fldChar w:fldCharType="end"/>
      </w:r>
    </w:p>
    <w:p>
      <w:pPr>
        <w:pStyle w:val="9"/>
        <w:tabs>
          <w:tab w:val="right" w:leader="dot" w:pos="8958"/>
        </w:tabs>
        <w:spacing w:line="560" w:lineRule="exact"/>
        <w:rPr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4.1施工期污染防治措施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PAGEREF _Toc112300571 \h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>3</w:t>
      </w:r>
      <w:r>
        <w:rPr>
          <w:sz w:val="28"/>
          <w:szCs w:val="28"/>
        </w:rPr>
        <w:fldChar w:fldCharType="end"/>
      </w:r>
    </w:p>
    <w:p>
      <w:pPr>
        <w:pStyle w:val="9"/>
        <w:tabs>
          <w:tab w:val="right" w:leader="dot" w:pos="8958"/>
        </w:tabs>
        <w:spacing w:line="560" w:lineRule="exact"/>
        <w:rPr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4.2 运行期污染防治措施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PAGEREF _Toc1805393142 \h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>3</w:t>
      </w:r>
      <w:r>
        <w:rPr>
          <w:sz w:val="28"/>
          <w:szCs w:val="28"/>
        </w:rPr>
        <w:fldChar w:fldCharType="end"/>
      </w:r>
    </w:p>
    <w:p>
      <w:pPr>
        <w:pStyle w:val="5"/>
        <w:tabs>
          <w:tab w:val="right" w:leader="dot" w:pos="8958"/>
        </w:tabs>
        <w:spacing w:line="560" w:lineRule="exact"/>
        <w:rPr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4.2.1 废水污染防治措施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PAGEREF _Toc697155279 \h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>3</w:t>
      </w:r>
      <w:r>
        <w:rPr>
          <w:sz w:val="28"/>
          <w:szCs w:val="28"/>
        </w:rPr>
        <w:fldChar w:fldCharType="end"/>
      </w:r>
    </w:p>
    <w:p>
      <w:pPr>
        <w:pStyle w:val="5"/>
        <w:tabs>
          <w:tab w:val="right" w:leader="dot" w:pos="8958"/>
        </w:tabs>
        <w:spacing w:line="560" w:lineRule="exact"/>
        <w:rPr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4.2.2 废气污染防治措施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PAGEREF _Toc1310354240 \h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>4</w:t>
      </w:r>
      <w:r>
        <w:rPr>
          <w:sz w:val="28"/>
          <w:szCs w:val="28"/>
        </w:rPr>
        <w:fldChar w:fldCharType="end"/>
      </w:r>
    </w:p>
    <w:p>
      <w:pPr>
        <w:pStyle w:val="5"/>
        <w:tabs>
          <w:tab w:val="right" w:leader="dot" w:pos="8958"/>
        </w:tabs>
        <w:spacing w:line="560" w:lineRule="exact"/>
        <w:rPr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4.2.3 噪声防治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PAGEREF _Toc49612867 \h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>5</w:t>
      </w:r>
      <w:r>
        <w:rPr>
          <w:sz w:val="28"/>
          <w:szCs w:val="28"/>
        </w:rPr>
        <w:fldChar w:fldCharType="end"/>
      </w:r>
    </w:p>
    <w:p>
      <w:pPr>
        <w:pStyle w:val="5"/>
        <w:tabs>
          <w:tab w:val="right" w:leader="dot" w:pos="8958"/>
        </w:tabs>
        <w:spacing w:line="560" w:lineRule="exact"/>
        <w:rPr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4.2.4固体废物防治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PAGEREF _Toc1493347837 \h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>5</w:t>
      </w:r>
      <w:r>
        <w:rPr>
          <w:sz w:val="28"/>
          <w:szCs w:val="28"/>
        </w:rPr>
        <w:fldChar w:fldCharType="end"/>
      </w:r>
    </w:p>
    <w:p>
      <w:pPr>
        <w:pStyle w:val="5"/>
        <w:tabs>
          <w:tab w:val="right" w:leader="dot" w:pos="8958"/>
        </w:tabs>
        <w:spacing w:line="560" w:lineRule="exact"/>
        <w:rPr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4.2.5 土壤和地下水污染防范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PAGEREF _Toc1362391841 \h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>6</w:t>
      </w:r>
      <w:r>
        <w:rPr>
          <w:sz w:val="28"/>
          <w:szCs w:val="28"/>
        </w:rPr>
        <w:fldChar w:fldCharType="end"/>
      </w:r>
    </w:p>
    <w:p>
      <w:pPr>
        <w:pStyle w:val="5"/>
        <w:tabs>
          <w:tab w:val="right" w:leader="dot" w:pos="8958"/>
        </w:tabs>
        <w:spacing w:line="560" w:lineRule="exact"/>
        <w:rPr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4.2.6 污染防治技术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PAGEREF _Toc882800909 \h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>6</w:t>
      </w:r>
      <w:r>
        <w:rPr>
          <w:sz w:val="28"/>
          <w:szCs w:val="28"/>
        </w:rPr>
        <w:fldChar w:fldCharType="end"/>
      </w:r>
    </w:p>
    <w:p>
      <w:pPr>
        <w:pStyle w:val="9"/>
        <w:tabs>
          <w:tab w:val="right" w:leader="dot" w:pos="8958"/>
        </w:tabs>
        <w:spacing w:line="560" w:lineRule="exact"/>
        <w:rPr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4.3 排污许可制度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PAGEREF _Toc137003326 \h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>7</w:t>
      </w:r>
      <w:r>
        <w:rPr>
          <w:sz w:val="28"/>
          <w:szCs w:val="28"/>
        </w:rPr>
        <w:fldChar w:fldCharType="end"/>
      </w:r>
    </w:p>
    <w:p>
      <w:pPr>
        <w:pStyle w:val="9"/>
        <w:tabs>
          <w:tab w:val="right" w:leader="dot" w:pos="8958"/>
        </w:tabs>
        <w:spacing w:line="560" w:lineRule="exact"/>
        <w:rPr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4.4 自行监测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PAGEREF _Toc597297014 \h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>7</w:t>
      </w:r>
      <w:r>
        <w:rPr>
          <w:sz w:val="28"/>
          <w:szCs w:val="28"/>
        </w:rPr>
        <w:fldChar w:fldCharType="end"/>
      </w:r>
    </w:p>
    <w:p>
      <w:pPr>
        <w:pStyle w:val="9"/>
        <w:tabs>
          <w:tab w:val="right" w:leader="dot" w:pos="8958"/>
        </w:tabs>
        <w:spacing w:line="560" w:lineRule="exact"/>
        <w:rPr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4.6 环境风险防范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PAGEREF _Toc2142454451 \h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>8</w:t>
      </w:r>
      <w:r>
        <w:rPr>
          <w:sz w:val="28"/>
          <w:szCs w:val="28"/>
        </w:rPr>
        <w:fldChar w:fldCharType="end"/>
      </w:r>
    </w:p>
    <w:p>
      <w:pPr>
        <w:pStyle w:val="8"/>
        <w:tabs>
          <w:tab w:val="right" w:leader="dot" w:pos="8958"/>
        </w:tabs>
        <w:spacing w:line="560" w:lineRule="exact"/>
        <w:rPr>
          <w:sz w:val="28"/>
          <w:szCs w:val="28"/>
        </w:rPr>
      </w:pPr>
      <w:r>
        <w:rPr>
          <w:rFonts w:hint="eastAsia" w:ascii="方正黑体_GBK" w:hAnsi="方正黑体_GBK" w:eastAsia="方正黑体_GBK" w:cs="方正黑体_GBK"/>
          <w:sz w:val="28"/>
          <w:szCs w:val="28"/>
        </w:rPr>
        <w:t>五、环境责任与监管要求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PAGEREF _Toc472593542 \h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>8</w:t>
      </w:r>
      <w:r>
        <w:rPr>
          <w:sz w:val="28"/>
          <w:szCs w:val="28"/>
        </w:rPr>
        <w:fldChar w:fldCharType="end"/>
      </w:r>
    </w:p>
    <w:p>
      <w:pPr>
        <w:pStyle w:val="8"/>
        <w:tabs>
          <w:tab w:val="right" w:leader="dot" w:pos="9288"/>
        </w:tabs>
        <w:spacing w:line="560" w:lineRule="exact"/>
        <w:rPr>
          <w:rFonts w:hint="eastAsia" w:ascii="方正小标宋_GBK" w:hAnsi="方正小标宋_GBK" w:eastAsia="方正小标宋_GBK" w:cs="方正小标宋_GBK"/>
          <w:spacing w:val="-7"/>
          <w:sz w:val="36"/>
          <w:szCs w:val="36"/>
        </w:rPr>
      </w:pPr>
      <w:r>
        <w:rPr>
          <w:rFonts w:ascii="Times New Roman" w:hAnsi="Times New Roman" w:eastAsia="宋体" w:cs="Times New Roman"/>
          <w:spacing w:val="-7"/>
          <w:sz w:val="28"/>
          <w:szCs w:val="28"/>
        </w:rPr>
        <w:fldChar w:fldCharType="end"/>
      </w:r>
    </w:p>
    <w:p>
      <w:pPr>
        <w:adjustRightInd w:val="0"/>
        <w:snapToGrid w:val="0"/>
        <w:rPr>
          <w:rFonts w:hint="eastAsia" w:ascii="方正小标宋_GBK" w:hAnsi="方正小标宋_GBK" w:eastAsia="方正小标宋_GBK" w:cs="方正小标宋_GBK"/>
          <w:spacing w:val="-7"/>
          <w:sz w:val="36"/>
          <w:szCs w:val="36"/>
        </w:rPr>
        <w:sectPr>
          <w:footerReference r:id="rId4" w:type="default"/>
          <w:pgSz w:w="11906" w:h="16838"/>
          <w:pgMar w:top="2154" w:right="1474" w:bottom="1417" w:left="1474" w:header="851" w:footer="992" w:gutter="0"/>
          <w:pgNumType w:start="1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Times New Roman" w:hAnsi="Times New Roman" w:eastAsia="方正小标宋_GBK" w:cs="Times New Roman"/>
          <w:spacing w:val="-7"/>
          <w:sz w:val="44"/>
          <w:szCs w:val="44"/>
        </w:rPr>
      </w:pPr>
      <w:r>
        <w:rPr>
          <w:rFonts w:ascii="Times New Roman" w:hAnsi="Times New Roman" w:eastAsia="方正小标宋_GBK" w:cs="Times New Roman"/>
          <w:spacing w:val="-7"/>
          <w:sz w:val="44"/>
          <w:szCs w:val="44"/>
        </w:rPr>
        <w:t>纺织业环境准入指引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黑体" w:hAnsi="黑体" w:eastAsia="黑体"/>
          <w:sz w:val="32"/>
          <w:szCs w:val="32"/>
        </w:rPr>
      </w:pPr>
      <w:bookmarkStart w:id="0" w:name="_Toc1147079935"/>
      <w:bookmarkStart w:id="1" w:name="_Toc186525587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一、适用范围</w:t>
      </w:r>
      <w:bookmarkEnd w:id="0"/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本指引适用类别及范围为《建设项目环境影响评价分类管理名录（2021年版）》（部令第16号）中“十四、纺织业17-28 棉纺织及印染精加工171*；毛纺织及染整精加工172*；麻纺织及染整精加工173*；丝绢纺织及印染精加工174*；化纤织造及印染精加工175*；针织或钩针编织物及其制品制造176*；家用纺织制成品制造177*；产业用纺织制成品制造178*”中“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有喷墨印花或数码印花工艺的；有喷水织造工艺的；有水刺无纺布织造工艺的</w:t>
      </w:r>
      <w:r>
        <w:rPr>
          <w:rFonts w:hint="eastAsia" w:ascii="仿宋_GB2312" w:hAnsi="仿宋_GB2312" w:eastAsia="仿宋_GB2312" w:cs="仿宋_GB2312"/>
          <w:sz w:val="32"/>
          <w:szCs w:val="32"/>
        </w:rPr>
        <w:t>”</w:t>
      </w:r>
      <w:bookmarkStart w:id="2" w:name="_Hlk182123509"/>
      <w:r>
        <w:rPr>
          <w:rFonts w:hint="eastAsia" w:ascii="仿宋_GB2312" w:hAnsi="仿宋_GB2312" w:eastAsia="仿宋_GB2312" w:cs="仿宋_GB2312"/>
          <w:sz w:val="32"/>
          <w:szCs w:val="32"/>
        </w:rPr>
        <w:t>建设项目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（以下简称“</w:t>
      </w:r>
      <w:bookmarkStart w:id="3" w:name="_Hlk184791020"/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试点项目</w:t>
      </w:r>
      <w:bookmarkEnd w:id="3"/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”）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bookmarkEnd w:id="2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黑体" w:hAnsi="黑体" w:eastAsia="黑体"/>
          <w:sz w:val="32"/>
          <w:szCs w:val="32"/>
        </w:rPr>
      </w:pPr>
      <w:bookmarkStart w:id="4" w:name="_Toc186525588"/>
      <w:bookmarkStart w:id="5" w:name="_Toc1274708559"/>
      <w:r>
        <w:rPr>
          <w:rFonts w:hint="eastAsia" w:ascii="黑体" w:hAnsi="黑体" w:eastAsia="黑体"/>
          <w:sz w:val="32"/>
          <w:szCs w:val="32"/>
        </w:rPr>
        <w:t>二、行业准入要求</w:t>
      </w:r>
      <w:bookmarkEnd w:id="4"/>
      <w:bookmarkEnd w:id="5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1"/>
        <w:textAlignment w:val="auto"/>
        <w:outlineLvl w:val="1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bookmarkStart w:id="6" w:name="_Toc186525589"/>
      <w:bookmarkStart w:id="7" w:name="_Toc205953617"/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2.1 </w:t>
      </w:r>
      <w:bookmarkStart w:id="8" w:name="_Hlk186449195"/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产业政策</w:t>
      </w:r>
      <w:bookmarkEnd w:id="6"/>
      <w:bookmarkEnd w:id="7"/>
      <w:bookmarkEnd w:id="8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应符合国家及地方现行的法律法规和相关政策；符合国家及地方产业结构调整、落后产能淘汰的各项要求。新建项目应采用先进生产工艺和设备，禁止新增《产业结构调整指导目录（2024年本）》中限制类、淘汰类的落后生产工艺、设备和产品。应符合《印染行业规范条件（2023版）》和《印染企业规范公告管理办法》等相关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1"/>
        <w:textAlignment w:val="auto"/>
        <w:outlineLvl w:val="1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bookmarkStart w:id="9" w:name="_Toc186525590"/>
      <w:bookmarkStart w:id="10" w:name="_Toc653270964"/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2.2 </w:t>
      </w:r>
      <w:bookmarkStart w:id="11" w:name="_Hlk186428392"/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规划布局</w:t>
      </w:r>
      <w:bookmarkEnd w:id="9"/>
      <w:bookmarkEnd w:id="10"/>
      <w:bookmarkEnd w:id="1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项目选址必须符合国土空间规划，严格遵循“三线一单”生态环境分区管控要求。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1"/>
        <w:textAlignment w:val="auto"/>
        <w:outlineLvl w:val="1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bookmarkStart w:id="12" w:name="_Toc186525591"/>
      <w:bookmarkStart w:id="13" w:name="_Toc1699389985"/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2.3 </w:t>
      </w:r>
      <w:bookmarkStart w:id="14" w:name="_Hlk186428624"/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项目选址</w:t>
      </w:r>
      <w:bookmarkEnd w:id="12"/>
      <w:bookmarkEnd w:id="13"/>
      <w:bookmarkEnd w:id="14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bookmarkStart w:id="15" w:name="_Hlk184795417"/>
      <w:r>
        <w:rPr>
          <w:rFonts w:hint="eastAsia" w:ascii="仿宋_GB2312" w:hAnsi="仿宋_GB2312" w:eastAsia="仿宋_GB2312" w:cs="仿宋_GB2312"/>
          <w:sz w:val="32"/>
          <w:szCs w:val="32"/>
        </w:rPr>
        <w:t>（1）选址须符合</w:t>
      </w:r>
      <w:bookmarkStart w:id="16" w:name="_Hlk186428751"/>
      <w:r>
        <w:rPr>
          <w:rFonts w:hint="eastAsia" w:ascii="仿宋_GB2312" w:hAnsi="仿宋_GB2312" w:eastAsia="仿宋_GB2312" w:cs="仿宋_GB2312"/>
          <w:sz w:val="32"/>
          <w:szCs w:val="32"/>
        </w:rPr>
        <w:t>生态环境保护规划、区域环境功能区划等</w:t>
      </w:r>
      <w:bookmarkEnd w:id="16"/>
      <w:r>
        <w:rPr>
          <w:rFonts w:hint="eastAsia" w:ascii="仿宋_GB2312" w:hAnsi="仿宋_GB2312" w:eastAsia="仿宋_GB2312" w:cs="仿宋_GB2312"/>
          <w:sz w:val="32"/>
          <w:szCs w:val="32"/>
        </w:rPr>
        <w:t>要求，且应</w:t>
      </w:r>
      <w:bookmarkStart w:id="17" w:name="_Hlk186428899"/>
      <w:r>
        <w:rPr>
          <w:rFonts w:hint="eastAsia" w:ascii="仿宋_GB2312" w:hAnsi="仿宋_GB2312" w:eastAsia="仿宋_GB2312" w:cs="仿宋_GB2312"/>
          <w:sz w:val="32"/>
          <w:szCs w:val="32"/>
        </w:rPr>
        <w:t>严格遵循现行的环境保护法规政策、各类标准规范</w:t>
      </w:r>
      <w:bookmarkEnd w:id="17"/>
      <w:r>
        <w:rPr>
          <w:rFonts w:hint="eastAsia" w:ascii="仿宋_GB2312" w:hAnsi="仿宋_GB2312" w:eastAsia="仿宋_GB2312" w:cs="仿宋_GB2312"/>
          <w:sz w:val="32"/>
          <w:szCs w:val="32"/>
        </w:rPr>
        <w:t>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（2）应避开自然保护区、风景名胜区、饮用水水源</w:t>
      </w:r>
      <w:bookmarkStart w:id="18" w:name="_Hlk186428798"/>
      <w:r>
        <w:rPr>
          <w:rFonts w:hint="eastAsia" w:ascii="仿宋_GB2312" w:hAnsi="仿宋_GB2312" w:eastAsia="仿宋_GB2312" w:cs="仿宋_GB2312"/>
          <w:sz w:val="32"/>
          <w:szCs w:val="32"/>
        </w:rPr>
        <w:t>保护区</w:t>
      </w:r>
      <w:bookmarkEnd w:id="18"/>
      <w:r>
        <w:rPr>
          <w:rFonts w:hint="eastAsia" w:ascii="仿宋_GB2312" w:hAnsi="仿宋_GB2312" w:eastAsia="仿宋_GB2312" w:cs="仿宋_GB2312"/>
          <w:sz w:val="32"/>
          <w:szCs w:val="32"/>
        </w:rPr>
        <w:t>、居民聚集区，以及国家和地方法律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法规规定的应当特殊保护的其他区域。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（3）入驻园区的项目，必须符合园区规划、园区规划环境影响评价及规划环境影响评价审查意见的要求。</w:t>
      </w:r>
    </w:p>
    <w:bookmarkEnd w:id="15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bookmarkStart w:id="19" w:name="_Hlk184795460"/>
      <w:r>
        <w:rPr>
          <w:rFonts w:hint="eastAsia" w:ascii="仿宋_GB2312" w:hAnsi="仿宋_GB2312" w:eastAsia="仿宋_GB2312" w:cs="仿宋_GB2312"/>
          <w:sz w:val="32"/>
          <w:szCs w:val="32"/>
        </w:rPr>
        <w:t>（4）若租用已建成的建筑物，必须符合该建筑物的使用功能。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bookmarkStart w:id="20" w:name="_Hlk182722663"/>
      <w:r>
        <w:rPr>
          <w:rFonts w:hint="eastAsia" w:ascii="仿宋_GB2312" w:hAnsi="仿宋_GB2312" w:eastAsia="仿宋_GB2312" w:cs="仿宋_GB2312"/>
          <w:sz w:val="32"/>
          <w:szCs w:val="32"/>
        </w:rPr>
        <w:t>（5）</w:t>
      </w:r>
      <w:bookmarkEnd w:id="20"/>
      <w:r>
        <w:rPr>
          <w:rFonts w:hint="eastAsia" w:ascii="仿宋_GB2312" w:hAnsi="仿宋_GB2312" w:eastAsia="仿宋_GB2312" w:cs="仿宋_GB2312"/>
          <w:sz w:val="32"/>
          <w:szCs w:val="32"/>
        </w:rPr>
        <w:t>涉及其他特殊情况的，建设单位必须征求管理部门的意见</w:t>
      </w:r>
      <w:bookmarkEnd w:id="19"/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黑体" w:hAnsi="黑体" w:eastAsia="黑体"/>
          <w:sz w:val="32"/>
          <w:szCs w:val="32"/>
        </w:rPr>
      </w:pPr>
      <w:bookmarkStart w:id="21" w:name="_Toc186427378"/>
      <w:bookmarkStart w:id="22" w:name="_Toc186525592"/>
      <w:bookmarkStart w:id="23" w:name="_Toc1073148819"/>
      <w:bookmarkStart w:id="24" w:name="_Hlk186429091"/>
      <w:r>
        <w:rPr>
          <w:rFonts w:hint="eastAsia" w:ascii="黑体" w:hAnsi="黑体" w:eastAsia="黑体"/>
          <w:sz w:val="32"/>
          <w:szCs w:val="32"/>
        </w:rPr>
        <w:t>三、资源开发利用效率要求</w:t>
      </w:r>
      <w:bookmarkEnd w:id="21"/>
      <w:bookmarkEnd w:id="22"/>
      <w:bookmarkEnd w:id="23"/>
    </w:p>
    <w:bookmarkEnd w:id="24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ascii="Times New Roman" w:hAnsi="Times New Roman" w:eastAsia="宋体" w:cs="Times New Roman"/>
          <w:sz w:val="30"/>
          <w:szCs w:val="30"/>
        </w:rPr>
      </w:pPr>
      <w:bookmarkStart w:id="25" w:name="_Hlk184795943"/>
      <w:r>
        <w:rPr>
          <w:rFonts w:hint="eastAsia" w:ascii="仿宋_GB2312" w:hAnsi="仿宋_GB2312" w:eastAsia="仿宋_GB2312" w:cs="仿宋_GB2312"/>
          <w:sz w:val="32"/>
          <w:szCs w:val="32"/>
        </w:rPr>
        <w:t>项目在建设及运行生产中</w:t>
      </w:r>
      <w:bookmarkStart w:id="26" w:name="_Hlk186429318"/>
      <w:r>
        <w:rPr>
          <w:rFonts w:hint="eastAsia" w:ascii="仿宋_GB2312" w:hAnsi="仿宋_GB2312" w:eastAsia="仿宋_GB2312" w:cs="仿宋_GB2312"/>
          <w:sz w:val="32"/>
          <w:szCs w:val="32"/>
        </w:rPr>
        <w:t>遵循</w:t>
      </w:r>
      <w:r>
        <w:rPr>
          <w:rFonts w:ascii="仿宋_GB2312" w:hAnsi="仿宋_GB2312" w:eastAsia="仿宋_GB2312" w:cs="仿宋_GB2312"/>
          <w:sz w:val="32"/>
          <w:szCs w:val="32"/>
        </w:rPr>
        <w:t>“减量化、资源化、无害化”原则，</w:t>
      </w:r>
      <w:r>
        <w:rPr>
          <w:rFonts w:hint="eastAsia" w:ascii="仿宋_GB2312" w:hAnsi="仿宋_GB2312" w:eastAsia="仿宋_GB2312" w:cs="仿宋_GB2312"/>
          <w:sz w:val="32"/>
          <w:szCs w:val="32"/>
        </w:rPr>
        <w:t>以提高资源利用效率为目标</w:t>
      </w:r>
      <w:bookmarkEnd w:id="26"/>
      <w:r>
        <w:rPr>
          <w:rFonts w:hint="eastAsia" w:ascii="仿宋_GB2312" w:hAnsi="仿宋_GB2312" w:eastAsia="仿宋_GB2312" w:cs="仿宋_GB2312"/>
          <w:sz w:val="32"/>
          <w:szCs w:val="32"/>
        </w:rPr>
        <w:t>，采用先进适用的生产技术、工艺和设备，</w:t>
      </w:r>
      <w:r>
        <w:rPr>
          <w:rFonts w:ascii="仿宋_GB2312" w:hAnsi="仿宋_GB2312" w:eastAsia="仿宋_GB2312" w:cs="仿宋_GB2312"/>
          <w:sz w:val="32"/>
          <w:szCs w:val="32"/>
        </w:rPr>
        <w:t>采用清洁工艺</w:t>
      </w:r>
      <w:r>
        <w:rPr>
          <w:rFonts w:hint="eastAsia" w:ascii="仿宋_GB2312" w:hAnsi="仿宋_GB2312" w:eastAsia="仿宋_GB2312" w:cs="仿宋_GB2312"/>
          <w:sz w:val="32"/>
          <w:szCs w:val="32"/>
        </w:rPr>
        <w:t>，确保</w:t>
      </w:r>
      <w:r>
        <w:rPr>
          <w:rFonts w:ascii="仿宋_GB2312" w:hAnsi="仿宋_GB2312" w:eastAsia="仿宋_GB2312" w:cs="仿宋_GB2312"/>
          <w:sz w:val="32"/>
          <w:szCs w:val="32"/>
        </w:rPr>
        <w:t>原辅材料利用效率高、污染物排放量少，减少各类污染物的产生</w:t>
      </w:r>
      <w:r>
        <w:rPr>
          <w:rFonts w:hint="eastAsia" w:ascii="仿宋_GB2312" w:hAnsi="仿宋_GB2312" w:eastAsia="仿宋_GB2312" w:cs="仿宋_GB2312"/>
          <w:sz w:val="32"/>
          <w:szCs w:val="32"/>
        </w:rPr>
        <w:t>。同时，</w:t>
      </w:r>
      <w:r>
        <w:rPr>
          <w:rFonts w:ascii="仿宋_GB2312" w:hAnsi="仿宋_GB2312" w:eastAsia="仿宋_GB2312" w:cs="仿宋_GB2312"/>
          <w:sz w:val="32"/>
          <w:szCs w:val="32"/>
        </w:rPr>
        <w:t>将资源能源消耗指标纳入企业各级考核</w:t>
      </w:r>
      <w:r>
        <w:rPr>
          <w:rFonts w:hint="eastAsia" w:ascii="仿宋_GB2312" w:hAnsi="仿宋_GB2312" w:eastAsia="仿宋_GB2312" w:cs="仿宋_GB2312"/>
          <w:sz w:val="32"/>
          <w:szCs w:val="32"/>
        </w:rPr>
        <w:t>体系，</w:t>
      </w:r>
      <w:bookmarkStart w:id="27" w:name="_Hlk186429426"/>
      <w:r>
        <w:rPr>
          <w:rFonts w:ascii="仿宋_GB2312" w:hAnsi="仿宋_GB2312" w:eastAsia="仿宋_GB2312" w:cs="仿宋_GB2312"/>
          <w:sz w:val="32"/>
          <w:szCs w:val="32"/>
        </w:rPr>
        <w:t>实现“节能、降耗、减污、增效”的目</w:t>
      </w:r>
      <w:bookmarkEnd w:id="25"/>
      <w:bookmarkEnd w:id="27"/>
      <w:r>
        <w:rPr>
          <w:rFonts w:hint="eastAsia" w:ascii="仿宋_GB2312" w:hAnsi="仿宋_GB2312" w:eastAsia="仿宋_GB2312" w:cs="仿宋_GB2312"/>
          <w:sz w:val="32"/>
          <w:szCs w:val="32"/>
        </w:rPr>
        <w:t>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黑体" w:hAnsi="黑体" w:eastAsia="黑体"/>
          <w:sz w:val="32"/>
          <w:szCs w:val="32"/>
        </w:rPr>
      </w:pPr>
      <w:bookmarkStart w:id="28" w:name="_Toc631318372"/>
      <w:bookmarkStart w:id="29" w:name="_Toc186525593"/>
      <w:r>
        <w:rPr>
          <w:rFonts w:hint="eastAsia" w:ascii="黑体" w:hAnsi="黑体" w:eastAsia="黑体"/>
          <w:sz w:val="32"/>
          <w:szCs w:val="32"/>
        </w:rPr>
        <w:t>四、污染防治措施要求</w:t>
      </w:r>
      <w:bookmarkEnd w:id="28"/>
      <w:bookmarkEnd w:id="29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1"/>
        <w:textAlignment w:val="auto"/>
        <w:outlineLvl w:val="1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bookmarkStart w:id="30" w:name="_Toc112300571"/>
      <w:bookmarkStart w:id="31" w:name="_Toc186525594"/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4.1施工期污染防治措施</w:t>
      </w:r>
      <w:bookmarkEnd w:id="30"/>
      <w:bookmarkEnd w:id="3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ascii="Times New Roman" w:hAnsi="Times New Roman" w:eastAsia="宋体" w:cs="Times New Roman"/>
          <w:sz w:val="32"/>
          <w:szCs w:val="32"/>
        </w:rPr>
      </w:pPr>
      <w:bookmarkStart w:id="32" w:name="_Hlk184175238"/>
      <w:r>
        <w:rPr>
          <w:rFonts w:hint="eastAsia" w:ascii="仿宋_GB2312" w:hAnsi="仿宋_GB2312" w:eastAsia="仿宋_GB2312" w:cs="仿宋_GB2312"/>
          <w:sz w:val="32"/>
          <w:szCs w:val="32"/>
        </w:rPr>
        <w:t>加强施工期环境管理，施工过程中采取围挡和覆盖、施工便道硬化、物料存放与加工须进棚，进出口设置车辆冲洗设施等措施，严格落实“洒水、覆盖、硬化、冲洗、绿化、围挡”六个100%要求，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有效</w:t>
      </w:r>
      <w:r>
        <w:rPr>
          <w:rFonts w:hint="eastAsia" w:ascii="仿宋_GB2312" w:hAnsi="仿宋_GB2312" w:eastAsia="仿宋_GB2312" w:cs="仿宋_GB2312"/>
          <w:sz w:val="32"/>
          <w:szCs w:val="32"/>
        </w:rPr>
        <w:t>控制施工扬尘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确保施工扬尘满足《施工场界扬尘排放限值》（DB61/1078-2017）要求；做好施工过程中生产废水的收集、处理与回用工作，健全各项回用保障设施；妥善处置施工弃土、弃渣和固体废物，严禁乱堆、乱倒；加强施工过程中的噪声管理，采取有效措施，确保施工场界噪声满足《建筑施工场界环境噪声排放标准》（GB12523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-2011</w:t>
      </w:r>
      <w:r>
        <w:rPr>
          <w:rFonts w:hint="eastAsia" w:ascii="仿宋_GB2312" w:hAnsi="仿宋_GB2312" w:eastAsia="仿宋_GB2312" w:cs="仿宋_GB2312"/>
          <w:sz w:val="32"/>
          <w:szCs w:val="32"/>
        </w:rPr>
        <w:t>）限值要求。施工全过程严格落实各项环境保护措施，防止施工扬尘、废水、固废、噪声等对环境造成污染。</w:t>
      </w:r>
      <w:bookmarkEnd w:id="32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1"/>
        <w:textAlignment w:val="auto"/>
        <w:outlineLvl w:val="1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bookmarkStart w:id="33" w:name="_Toc186525595"/>
      <w:bookmarkStart w:id="34" w:name="_Toc1805393142"/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4.2 运行期污染防治措施</w:t>
      </w:r>
      <w:bookmarkEnd w:id="33"/>
      <w:bookmarkEnd w:id="34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1"/>
        <w:textAlignment w:val="auto"/>
        <w:outlineLvl w:val="2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bookmarkStart w:id="35" w:name="_Toc697155279"/>
      <w:bookmarkStart w:id="36" w:name="_Toc186525596"/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4.2.1 废水污染防治措施</w:t>
      </w:r>
      <w:bookmarkEnd w:id="35"/>
      <w:bookmarkEnd w:id="36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bookmarkStart w:id="37" w:name="_Hlk182123592"/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（1）生活废水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若存在食堂废水，需先经隔油处理，再与经化粪池沉淀后的生活污水一并排入市政污水管网；若无市政管网或管网不完善，食堂废水经隔油处理、生活污水经化粪池沉淀后，必须有合法合规的去向，严禁随意排放或偷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（2）生产废水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试点项目应配套建设满足产能需求的生产废水收集、暂存、处理以及回用设施设备；生产废水治理工程的建设、运行与管理，须符合《排污许可证申请与核发技术规范 纺织印染工业》（HJ861-2017）、《纺织染整工业废水治理工程技术规范》（HJ471-2020）及《染料工业废水治理工程技术规范》（HJ2036-2013）等规范要求。</w:t>
      </w:r>
    </w:p>
    <w:bookmarkEnd w:id="37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1"/>
        <w:textAlignment w:val="auto"/>
        <w:outlineLvl w:val="2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bookmarkStart w:id="38" w:name="_Toc186525597"/>
      <w:bookmarkStart w:id="39" w:name="_Toc1310354240"/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4.2.2 废气污染防治措施</w:t>
      </w:r>
      <w:bookmarkEnd w:id="38"/>
      <w:bookmarkEnd w:id="39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（1）废气收集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项目建设时，应秉持“应收尽收”原则配置废气收集设施，科学、规范地设计与建设废气收集设施，提高废气收集率。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使用的油墨、稀释剂、胶粘剂、助剂等含VOCs原辅料，须符合低挥发性有机物（VOCs）含量要求，鼓励企业采用水基（性）涂层整理剂。油墨、稀释剂、胶粘剂、助剂等含VOCs原辅料，须储存在密闭容器或包装袋中，非取用状态时应加盖、封口，保持密闭；调配过程须在有收集设施的封闭工位内进行；无法封闭时，须采取局部收集措施，将收集的废气送至废气处理系统，处理达标后有组织排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喷墨印花或数码印花生产线须采取封闭操作间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封闭工位、安装集气罩收集等方式收集废气；烘干等工序采取全封闭，或在烘箱进、出口上方设置集气罩收集。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对于颗粒物产生工序，应优先采用封闭设备、封闭空间或集气罩等收集方式；无法封闭时，必须采取局部收集措施。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项目生产和运行过程中产生的恶臭气体，必须配套建设有效的臭气收集和治理措施。若有多个废气收集支管道，须在支管道上加装可开启/关闭的阀门，防止闲置空载时吸入大量空气。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（2）废气治理设施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采用吸附法治理技术，需满足《吸附法工业有机废气治理工程技术规范》（HJ2016-2013）要求；采用催化燃烧技术，需满足《催化燃烧法工业有机废气治理工程技术规范》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HJ2027-2013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要求；采用蓄热燃烧技术，需满足《蓄热燃烧法工业有机废气治理工程技术规范》(HJ1093-2020)要求；处理粉尘颗粒物，须采用推荐的高效除尘设施设备；臭气治理应优先选用国家推荐的可行技术。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1"/>
        <w:textAlignment w:val="auto"/>
        <w:outlineLvl w:val="2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bookmarkStart w:id="40" w:name="_Toc49612867"/>
      <w:bookmarkStart w:id="41" w:name="_Toc186525598"/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4.2.3 噪声防治</w:t>
      </w:r>
      <w:bookmarkEnd w:id="40"/>
      <w:bookmarkEnd w:id="4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bookmarkStart w:id="42" w:name="_Hlk186431574"/>
      <w:bookmarkStart w:id="43" w:name="_Hlk184795711"/>
      <w:bookmarkStart w:id="44" w:name="_Hlk186465426"/>
      <w:r>
        <w:rPr>
          <w:rFonts w:hint="eastAsia" w:ascii="仿宋_GB2312" w:hAnsi="仿宋_GB2312" w:eastAsia="仿宋_GB2312" w:cs="仿宋_GB2312"/>
          <w:sz w:val="32"/>
          <w:szCs w:val="32"/>
        </w:rPr>
        <w:t>选用低噪设备，厂区内合理布局。对高噪声设备应采取基础减振、加装隔音罩等有效的措施进行降噪</w:t>
      </w:r>
      <w:bookmarkEnd w:id="42"/>
      <w:r>
        <w:rPr>
          <w:rFonts w:hint="eastAsia" w:ascii="仿宋_GB2312" w:hAnsi="仿宋_GB2312" w:eastAsia="仿宋_GB2312" w:cs="仿宋_GB2312"/>
          <w:sz w:val="32"/>
          <w:szCs w:val="32"/>
        </w:rPr>
        <w:t>，并加强设备日常维护，降低设备运行产生的机械噪声</w:t>
      </w:r>
      <w:bookmarkEnd w:id="43"/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bookmarkEnd w:id="44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1"/>
        <w:textAlignment w:val="auto"/>
        <w:outlineLvl w:val="2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bookmarkStart w:id="45" w:name="_Toc1493347837"/>
      <w:bookmarkStart w:id="46" w:name="_Toc186525599"/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4.2.4固体废物防治</w:t>
      </w:r>
      <w:bookmarkEnd w:id="45"/>
      <w:bookmarkEnd w:id="46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bookmarkStart w:id="47" w:name="_Hlk184795735"/>
      <w:bookmarkStart w:id="48" w:name="_Hlk182752625"/>
      <w:bookmarkStart w:id="49" w:name="_Hlk182726140"/>
      <w:r>
        <w:rPr>
          <w:rFonts w:hint="eastAsia" w:ascii="仿宋_GB2312" w:hAnsi="仿宋_GB2312" w:eastAsia="仿宋_GB2312" w:cs="仿宋_GB2312"/>
          <w:sz w:val="32"/>
          <w:szCs w:val="32"/>
        </w:rPr>
        <w:t>遵循“减量化、资源化、无害化”原则，一般固体废物应分类收集、规范暂存，定时交由环卫部门或者物资回收部门；危险废物须规范收集、暂存于符合规范要求的危险</w:t>
      </w:r>
      <w:bookmarkStart w:id="50" w:name="_Hlk186442790"/>
      <w:r>
        <w:rPr>
          <w:rFonts w:hint="eastAsia" w:ascii="仿宋_GB2312" w:hAnsi="仿宋_GB2312" w:eastAsia="仿宋_GB2312" w:cs="仿宋_GB2312"/>
          <w:sz w:val="32"/>
          <w:szCs w:val="32"/>
        </w:rPr>
        <w:t>废物</w:t>
      </w:r>
      <w:bookmarkEnd w:id="50"/>
      <w:r>
        <w:rPr>
          <w:rFonts w:hint="eastAsia" w:ascii="仿宋_GB2312" w:hAnsi="仿宋_GB2312" w:eastAsia="仿宋_GB2312" w:cs="仿宋_GB2312"/>
          <w:sz w:val="32"/>
          <w:szCs w:val="32"/>
        </w:rPr>
        <w:t>贮存设施内，其储存及管理须满足《危险废物识别标志设置技术规范》（HJ1276-2022）、《危险废物管理计划和管理台账制定技术导则》（HJ1259-2022）、《危险废物收集贮存运输技术规范》（HJ2025-2012）等规范及法律法规要求，并定期委托有危险废物处理资质的单位回收处理。</w:t>
      </w:r>
      <w:bookmarkStart w:id="51" w:name="_Hlk186442939"/>
      <w:r>
        <w:rPr>
          <w:rFonts w:hint="eastAsia" w:ascii="仿宋_GB2312" w:hAnsi="仿宋_GB2312" w:eastAsia="仿宋_GB2312" w:cs="仿宋_GB2312"/>
          <w:sz w:val="32"/>
          <w:szCs w:val="32"/>
        </w:rPr>
        <w:t>建立健全管理制度，健全台账记录。</w:t>
      </w:r>
    </w:p>
    <w:bookmarkEnd w:id="51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鼓励</w:t>
      </w:r>
      <w:r>
        <w:rPr>
          <w:rFonts w:hint="eastAsia" w:ascii="仿宋_GB2312" w:hAnsi="仿宋_GB2312" w:eastAsia="仿宋_GB2312" w:cs="仿宋_GB2312"/>
          <w:sz w:val="32"/>
          <w:szCs w:val="32"/>
        </w:rPr>
        <w:t>建设单位</w:t>
      </w:r>
      <w:r>
        <w:rPr>
          <w:rFonts w:ascii="仿宋_GB2312" w:hAnsi="仿宋_GB2312" w:eastAsia="仿宋_GB2312" w:cs="仿宋_GB2312"/>
          <w:sz w:val="32"/>
          <w:szCs w:val="32"/>
        </w:rPr>
        <w:t>通过改进工艺等方式减少固体废物的产生</w:t>
      </w:r>
      <w:r>
        <w:rPr>
          <w:rFonts w:hint="eastAsia" w:ascii="仿宋_GB2312" w:hAnsi="仿宋_GB2312" w:eastAsia="仿宋_GB2312" w:cs="仿宋_GB2312"/>
          <w:sz w:val="32"/>
          <w:szCs w:val="32"/>
        </w:rPr>
        <w:t>量</w:t>
      </w:r>
      <w:r>
        <w:rPr>
          <w:rFonts w:ascii="仿宋_GB2312" w:hAnsi="仿宋_GB2312" w:eastAsia="仿宋_GB2312" w:cs="仿宋_GB2312"/>
          <w:sz w:val="32"/>
          <w:szCs w:val="32"/>
        </w:rPr>
        <w:t>，并在符合相关政策标准的前提下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ascii="仿宋_GB2312" w:hAnsi="仿宋_GB2312" w:eastAsia="仿宋_GB2312" w:cs="仿宋_GB2312"/>
          <w:sz w:val="32"/>
          <w:szCs w:val="32"/>
        </w:rPr>
        <w:t>积极开展固体废物的综合利用。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建设单位对固体废物须采取防扬散、防流失、防渗漏、防雨淋、防暴晒、防盗窃及其他防止污染环境的措施，不得擅自倾倒、堆放、丢弃、遗撒固体废物</w:t>
      </w:r>
      <w:bookmarkEnd w:id="47"/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bookmarkEnd w:id="48"/>
    <w:bookmarkEnd w:id="49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1"/>
        <w:textAlignment w:val="auto"/>
        <w:outlineLvl w:val="2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bookmarkStart w:id="52" w:name="_Toc186525600"/>
      <w:bookmarkStart w:id="53" w:name="_Toc1362391841"/>
      <w:bookmarkStart w:id="54" w:name="_Toc182513091"/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4.2.5 土壤和地下水污染防范</w:t>
      </w:r>
      <w:bookmarkEnd w:id="52"/>
      <w:bookmarkEnd w:id="53"/>
      <w:bookmarkEnd w:id="54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bookmarkStart w:id="55" w:name="_Hlk184795753"/>
      <w:bookmarkStart w:id="56" w:name="_Hlk182752701"/>
      <w:bookmarkStart w:id="57" w:name="_Hlk186468835"/>
      <w:r>
        <w:rPr>
          <w:rFonts w:hint="eastAsia" w:ascii="仿宋_GB2312" w:hAnsi="仿宋_GB2312" w:eastAsia="仿宋_GB2312" w:cs="仿宋_GB2312"/>
          <w:sz w:val="32"/>
          <w:szCs w:val="32"/>
        </w:rPr>
        <w:t>依据《中华人民共和国土壤污染防治法》《土壤污染源头防控行动计划》等土壤和地下水污染防治法律法规及政策要求，</w:t>
      </w:r>
      <w:bookmarkEnd w:id="55"/>
      <w:r>
        <w:rPr>
          <w:rFonts w:hint="eastAsia" w:ascii="仿宋_GB2312" w:hAnsi="仿宋_GB2312" w:eastAsia="仿宋_GB2312" w:cs="仿宋_GB2312"/>
          <w:sz w:val="32"/>
          <w:szCs w:val="32"/>
        </w:rPr>
        <w:t>在项目建设和运营过程中，应对涉及环境风险物质和污染物质使用、存储与处置区域做好分区防渗，严格落实土壤和地下水污染防范措施。</w:t>
      </w:r>
      <w:bookmarkEnd w:id="56"/>
    </w:p>
    <w:bookmarkEnd w:id="57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1"/>
        <w:textAlignment w:val="auto"/>
        <w:outlineLvl w:val="2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bookmarkStart w:id="58" w:name="_Toc882800909"/>
      <w:bookmarkStart w:id="59" w:name="_Toc186525601"/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4.2.6 污染防治技术</w:t>
      </w:r>
      <w:bookmarkEnd w:id="58"/>
      <w:bookmarkEnd w:id="59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bookmarkStart w:id="60" w:name="_Hlk184795792"/>
      <w:bookmarkStart w:id="61" w:name="_Hlk186432348"/>
      <w:r>
        <w:rPr>
          <w:rFonts w:hint="eastAsia" w:ascii="仿宋_GB2312" w:hAnsi="仿宋_GB2312" w:eastAsia="仿宋_GB2312" w:cs="仿宋_GB2312"/>
          <w:sz w:val="32"/>
          <w:szCs w:val="32"/>
        </w:rPr>
        <w:t>应优先选用《排污许可证申请与核发技术规范 总则》（HJ942-2018）、《排污许可证申请与核发技术规范 纺织印染工业》（HJ861-2017）、《纺织染整工业废水治理工程技术规范》（HJ471-2020）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《染料工业废水治理工程技术规范》（HJ 2036-2013）、《纺织工业污染防治可行技术指南》（HJ1177-2021）及《涂料油墨工业污染防治可行技术指南》（HJ1179-2021）</w:t>
      </w:r>
      <w:bookmarkEnd w:id="60"/>
      <w:bookmarkStart w:id="62" w:name="_Hlk186516161"/>
      <w:r>
        <w:rPr>
          <w:rFonts w:hint="eastAsia" w:ascii="仿宋_GB2312" w:hAnsi="仿宋_GB2312" w:eastAsia="仿宋_GB2312" w:cs="仿宋_GB2312"/>
          <w:sz w:val="32"/>
          <w:szCs w:val="32"/>
        </w:rPr>
        <w:t>等文件中推荐的污染治理技术，</w:t>
      </w:r>
      <w:bookmarkEnd w:id="61"/>
      <w:r>
        <w:rPr>
          <w:rFonts w:hint="eastAsia" w:ascii="仿宋_GB2312" w:hAnsi="仿宋_GB2312" w:eastAsia="仿宋_GB2312" w:cs="仿宋_GB2312"/>
          <w:sz w:val="32"/>
          <w:szCs w:val="32"/>
        </w:rPr>
        <w:t>严禁使用《国家污染防治技术指导目录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2024年，限制类和淘汰类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》等限制类或淘汰类及国家明令禁止的技术，</w:t>
      </w:r>
      <w:bookmarkEnd w:id="62"/>
      <w:r>
        <w:rPr>
          <w:rFonts w:hint="eastAsia" w:ascii="仿宋_GB2312" w:hAnsi="仿宋_GB2312" w:eastAsia="仿宋_GB2312" w:cs="仿宋_GB2312"/>
          <w:sz w:val="32"/>
          <w:szCs w:val="32"/>
        </w:rPr>
        <w:t>确保污染物持续、稳定、达标排放。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1"/>
        <w:textAlignment w:val="auto"/>
        <w:outlineLvl w:val="1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bookmarkStart w:id="63" w:name="_Toc186525602"/>
      <w:bookmarkStart w:id="64" w:name="_Toc182513093"/>
      <w:bookmarkStart w:id="65" w:name="_Toc137003326"/>
      <w:bookmarkStart w:id="66" w:name="_Toc182153024"/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4.3 排污许可制度</w:t>
      </w:r>
      <w:bookmarkEnd w:id="63"/>
      <w:bookmarkEnd w:id="64"/>
      <w:bookmarkEnd w:id="65"/>
      <w:bookmarkEnd w:id="66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ascii="Times New Roman" w:hAnsi="Times New Roman" w:eastAsia="宋体" w:cs="Times New Roman"/>
          <w:sz w:val="30"/>
          <w:szCs w:val="30"/>
        </w:rPr>
      </w:pPr>
      <w:bookmarkStart w:id="67" w:name="_Hlk184795837"/>
      <w:bookmarkStart w:id="68" w:name="_Hlk184794000"/>
      <w:r>
        <w:rPr>
          <w:rFonts w:hint="eastAsia" w:ascii="仿宋_GB2312" w:hAnsi="仿宋_GB2312" w:eastAsia="仿宋_GB2312" w:cs="仿宋_GB2312"/>
          <w:sz w:val="32"/>
          <w:szCs w:val="32"/>
        </w:rPr>
        <w:t>试点项目在排污前，</w:t>
      </w:r>
      <w:bookmarkEnd w:id="67"/>
      <w:bookmarkStart w:id="69" w:name="_Hlk184794222"/>
      <w:bookmarkStart w:id="70" w:name="_Hlk182752920"/>
      <w:r>
        <w:rPr>
          <w:rFonts w:hint="eastAsia" w:ascii="仿宋_GB2312" w:hAnsi="仿宋_GB2312" w:eastAsia="仿宋_GB2312" w:cs="仿宋_GB2312"/>
          <w:sz w:val="32"/>
          <w:szCs w:val="32"/>
        </w:rPr>
        <w:t>应依据《排污许可证申请与核发技术规范 总则》（HJ942-2018）、《排污许可证申请与核发技术规范 工业固体废物（试行）》（HJ1200-2021）、《排污许可证申请与核发技术规范 纺织印染工业》（HJ861-2017）、《纺织印染工业排污许可证审核要点（第一版）》</w:t>
      </w:r>
      <w:bookmarkStart w:id="71" w:name="_Hlk186525207"/>
      <w:r>
        <w:rPr>
          <w:rFonts w:hint="eastAsia" w:ascii="仿宋_GB2312" w:hAnsi="仿宋_GB2312" w:eastAsia="仿宋_GB2312" w:cs="仿宋_GB2312"/>
          <w:sz w:val="32"/>
          <w:szCs w:val="32"/>
        </w:rPr>
        <w:t>《陕西省排污许可证管理暂行办法》（陕环发</w:t>
      </w:r>
      <w:r>
        <w:rPr>
          <w:rFonts w:ascii="仿宋_GB2312" w:hAnsi="仿宋_GB2312" w:eastAsia="仿宋_GB2312" w:cs="仿宋_GB2312"/>
          <w:sz w:val="32"/>
          <w:szCs w:val="32"/>
        </w:rPr>
        <w:t>〔</w:t>
      </w:r>
      <w:r>
        <w:rPr>
          <w:rFonts w:hint="eastAsia" w:ascii="仿宋_GB2312" w:hAnsi="仿宋_GB2312" w:eastAsia="仿宋_GB2312" w:cs="仿宋_GB2312"/>
          <w:sz w:val="32"/>
          <w:szCs w:val="32"/>
        </w:rPr>
        <w:t>2015</w:t>
      </w:r>
      <w:r>
        <w:rPr>
          <w:rFonts w:hint="eastAsia" w:ascii="CESI仿宋-GB2312" w:hAnsi="CESI仿宋-GB2312" w:eastAsia="CESI仿宋-GB2312" w:cs="CESI仿宋-GB2312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</w:rPr>
        <w:t>20号）</w:t>
      </w:r>
      <w:bookmarkEnd w:id="71"/>
      <w:r>
        <w:rPr>
          <w:rFonts w:hint="eastAsia" w:ascii="仿宋_GB2312" w:hAnsi="仿宋_GB2312" w:eastAsia="仿宋_GB2312" w:cs="仿宋_GB2312"/>
          <w:sz w:val="32"/>
          <w:szCs w:val="32"/>
        </w:rPr>
        <w:t>等技术规范要求，</w:t>
      </w:r>
      <w:bookmarkStart w:id="72" w:name="_Hlk186470265"/>
      <w:r>
        <w:rPr>
          <w:rFonts w:hint="eastAsia" w:ascii="仿宋_GB2312" w:hAnsi="仿宋_GB2312" w:eastAsia="仿宋_GB2312" w:cs="仿宋_GB2312"/>
          <w:sz w:val="32"/>
          <w:szCs w:val="32"/>
        </w:rPr>
        <w:t>在全国排污许可证管理信息平台完成注册、填报，并申领排污许可证</w:t>
      </w:r>
      <w:bookmarkEnd w:id="72"/>
      <w:r>
        <w:rPr>
          <w:rFonts w:hint="eastAsia" w:ascii="仿宋_GB2312" w:hAnsi="仿宋_GB2312" w:eastAsia="仿宋_GB2312" w:cs="仿宋_GB2312"/>
          <w:sz w:val="32"/>
          <w:szCs w:val="32"/>
        </w:rPr>
        <w:t>。取得排污许可证后，须严格按照排污许可证中的各项要求执行，服从监督管理，严禁无证排污或不按证排污。</w:t>
      </w:r>
      <w:bookmarkEnd w:id="69"/>
    </w:p>
    <w:bookmarkEnd w:id="68"/>
    <w:bookmarkEnd w:id="7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1"/>
        <w:textAlignment w:val="auto"/>
        <w:outlineLvl w:val="1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bookmarkStart w:id="73" w:name="_Toc597297014"/>
      <w:bookmarkStart w:id="74" w:name="_Toc182513092"/>
      <w:bookmarkStart w:id="75" w:name="_Toc186525603"/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4.4 自行监测</w:t>
      </w:r>
      <w:bookmarkEnd w:id="73"/>
      <w:bookmarkEnd w:id="74"/>
      <w:bookmarkEnd w:id="75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bookmarkStart w:id="76" w:name="_Hlk184794337"/>
      <w:r>
        <w:rPr>
          <w:rFonts w:hint="eastAsia" w:ascii="仿宋_GB2312" w:hAnsi="仿宋_GB2312" w:eastAsia="仿宋_GB2312" w:cs="仿宋_GB2312"/>
          <w:sz w:val="32"/>
          <w:szCs w:val="32"/>
        </w:rPr>
        <w:t>项目建成运行后，</w:t>
      </w:r>
      <w:bookmarkEnd w:id="76"/>
      <w:r>
        <w:rPr>
          <w:rFonts w:hint="eastAsia" w:ascii="仿宋_GB2312" w:hAnsi="仿宋_GB2312" w:eastAsia="仿宋_GB2312" w:cs="仿宋_GB2312"/>
          <w:sz w:val="32"/>
          <w:szCs w:val="32"/>
        </w:rPr>
        <w:t>须按照《排污单位自行检测技术指南 总则》（HJ819-2017）、《排污单位自行监测技术指南 纺织印染工业》（HJ879-2017）</w:t>
      </w:r>
      <w:bookmarkStart w:id="77" w:name="_Hlk184794056"/>
      <w:r>
        <w:rPr>
          <w:rFonts w:hint="eastAsia" w:ascii="仿宋_GB2312" w:hAnsi="仿宋_GB2312" w:eastAsia="仿宋_GB2312" w:cs="仿宋_GB2312"/>
          <w:sz w:val="32"/>
          <w:szCs w:val="32"/>
        </w:rPr>
        <w:t>以及排污许可证规定的监测因子和监测频次，完成自行监测工作，并在陕西省污染源环境监测信息管理平台进行填报，接受管理部门的监督检查。</w:t>
      </w:r>
      <w:bookmarkEnd w:id="77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4.5达标排放要求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废气排放须满足《大气污染物综合排放标准》（GB16297-</w:t>
      </w:r>
      <w:r>
        <w:rPr>
          <w:rFonts w:hint="default" w:ascii="仿宋_GB2312" w:hAnsi="仿宋_GB2312" w:eastAsia="仿宋_GB2312" w:cs="仿宋_GB2312"/>
          <w:sz w:val="32"/>
          <w:szCs w:val="32"/>
          <w:lang w:val="en-US"/>
        </w:rPr>
        <w:t>1996</w:t>
      </w:r>
      <w:r>
        <w:rPr>
          <w:rFonts w:hint="eastAsia" w:ascii="仿宋_GB2312" w:hAnsi="仿宋_GB2312" w:eastAsia="仿宋_GB2312" w:cs="仿宋_GB2312"/>
          <w:sz w:val="32"/>
          <w:szCs w:val="32"/>
        </w:rPr>
        <w:t>）、《恶臭污染物排放标准》（GB14554-93）、《挥发性有机物排放控制标准》（DB61/T1061-2017）及《挥发性有机物无组织排放控制标准》（GB37822-2019）等标准中的相关排放限制要求；废水经处理后，须符合《纺织染整工业水污染物排放标准及修改清单》（GB4287-2012）中的相关排放标准，以及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污水处理厂纳管标准</w:t>
      </w:r>
      <w:r>
        <w:rPr>
          <w:rFonts w:hint="eastAsia" w:ascii="仿宋_GB2312" w:hAnsi="仿宋_GB2312" w:eastAsia="仿宋_GB2312" w:cs="仿宋_GB2312"/>
          <w:sz w:val="32"/>
          <w:szCs w:val="32"/>
        </w:rPr>
        <w:t>或地方规定的水污染物排放标准要求；</w:t>
      </w:r>
      <w:bookmarkStart w:id="78" w:name="_Hlk184794532"/>
      <w:r>
        <w:rPr>
          <w:rFonts w:hint="eastAsia" w:ascii="仿宋_GB2312" w:hAnsi="仿宋_GB2312" w:eastAsia="仿宋_GB2312" w:cs="仿宋_GB2312"/>
          <w:sz w:val="32"/>
          <w:szCs w:val="32"/>
        </w:rPr>
        <w:t>厂界噪声须符合《工业企业厂界环境噪声排放标准》（GB12348-2008）等标准限制，厂界外敏感目标的声环境须满足《声环境质量标准》（GB3096-2008）相关要求；一般工业固体废物管理须符合《中华人民共和国固体废物污染环境防治法》要求；危险废物管理须满足《危险废物贮存污染控制标准》（GB18597-2023）和《危险废物识别标志设置技术规范》（HJ1276-2022）要求。</w:t>
      </w:r>
      <w:bookmarkEnd w:id="78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1"/>
        <w:textAlignment w:val="auto"/>
        <w:outlineLvl w:val="1"/>
        <w:rPr>
          <w:rFonts w:hint="eastAsia" w:ascii="仿宋_GB2312" w:hAnsi="仿宋_GB2312" w:eastAsia="仿宋_GB2312" w:cs="仿宋_GB2312"/>
          <w:b/>
          <w:bCs/>
          <w:sz w:val="30"/>
          <w:szCs w:val="30"/>
        </w:rPr>
      </w:pPr>
      <w:bookmarkStart w:id="79" w:name="_Toc186525604"/>
      <w:bookmarkStart w:id="80" w:name="_Toc182153023"/>
      <w:bookmarkStart w:id="81" w:name="_Toc182513094"/>
      <w:bookmarkStart w:id="82" w:name="_Toc2142454451"/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4.6 环境风险防范</w:t>
      </w:r>
      <w:bookmarkEnd w:id="79"/>
      <w:bookmarkEnd w:id="80"/>
      <w:bookmarkEnd w:id="81"/>
      <w:bookmarkEnd w:id="82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应建立健全环境风险防控体系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制定有效的环境风险事故应急预案，并及时更新。配备满足要求的环境风险防范措施和应急设施，定期开展演练，切实做好环境风险防范与防控工作，提高环境风险防范意识，防止危害扩大。建设单位作为环境风险第一责任人，对所造成的损害承担主体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bookmarkStart w:id="83" w:name="_Toc186525605"/>
      <w:bookmarkStart w:id="84" w:name="_Toc472593542"/>
      <w:bookmarkStart w:id="85" w:name="_Toc182153025"/>
      <w:bookmarkStart w:id="86" w:name="_Toc182513096"/>
      <w:r>
        <w:rPr>
          <w:rFonts w:hint="eastAsia" w:ascii="方正黑体_GBK" w:hAnsi="方正黑体_GBK" w:eastAsia="方正黑体_GBK" w:cs="方正黑体_GBK"/>
          <w:sz w:val="32"/>
          <w:szCs w:val="32"/>
        </w:rPr>
        <w:t>五、环境责任与监管要求</w:t>
      </w:r>
      <w:bookmarkEnd w:id="83"/>
      <w:bookmarkEnd w:id="84"/>
      <w:bookmarkEnd w:id="85"/>
      <w:bookmarkEnd w:id="86"/>
      <w:bookmarkStart w:id="87" w:name="_Hlk184154207"/>
    </w:p>
    <w:bookmarkEnd w:id="87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bookmarkStart w:id="88" w:name="_Hlk184795961"/>
      <w:bookmarkStart w:id="89" w:name="_Hlk182679106"/>
      <w:bookmarkStart w:id="90" w:name="_Hlk184177884"/>
      <w:r>
        <w:rPr>
          <w:rFonts w:hint="eastAsia" w:ascii="仿宋_GB2312" w:hAnsi="仿宋_GB2312" w:eastAsia="仿宋_GB2312" w:cs="仿宋_GB2312"/>
          <w:sz w:val="32"/>
          <w:szCs w:val="32"/>
        </w:rPr>
        <w:t>试点项目必须遵守法律法规、标准和有关技术规范要求，采取有效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</w:rPr>
        <w:t>防治环境污染和生态破坏措施，确保污染物达标排放，并自觉接受日常监督管理。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项目建设应严格执行环境保护设施与主体工程同时设计、同时施工、同时投入使用的环境保护“三同时”制度。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若试点项目不能按国家相关法律法规、环保政策以及本指引要求建设，或拒不接受常规监督、检查及管理，管理部门有权取消该项目作为优化环评分类管理试点资格，并要求该项目限期补办环境影响评价等手续，同时项目建设单位须无条件接受相关违法、违规处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eastAsia" w:ascii="仿宋_GB2312" w:hAnsi="仿宋_GB2312" w:eastAsia="仿宋_GB2312" w:cs="仿宋_GB2312"/>
        </w:rPr>
      </w:pPr>
      <w:bookmarkStart w:id="91" w:name="_Hlk184176381"/>
      <w:r>
        <w:rPr>
          <w:rFonts w:hint="eastAsia" w:ascii="仿宋_GB2312" w:hAnsi="仿宋_GB2312" w:eastAsia="仿宋_GB2312" w:cs="仿宋_GB2312"/>
          <w:sz w:val="32"/>
          <w:szCs w:val="32"/>
        </w:rPr>
        <w:t>企业应按照《排污许可管理条例》《企业环境信息依法披露管理办法》等开展环境信息公开，鼓励主动开展社会责任和可持续发展信息披露，通过建立健全信息披露机制、提高企业信息披露质量，促进企业管理</w:t>
      </w:r>
      <w:bookmarkEnd w:id="88"/>
      <w:bookmarkEnd w:id="89"/>
      <w:bookmarkEnd w:id="90"/>
      <w:bookmarkEnd w:id="91"/>
      <w:r>
        <w:rPr>
          <w:rFonts w:hint="eastAsia" w:ascii="仿宋_GB2312" w:hAnsi="仿宋_GB2312" w:eastAsia="仿宋_GB2312" w:cs="仿宋_GB2312"/>
          <w:sz w:val="32"/>
          <w:szCs w:val="32"/>
        </w:rPr>
        <w:t>水平提升。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eastAsia" w:ascii="仿宋_GB2312" w:hAnsi="仿宋_GB2312" w:eastAsia="仿宋_GB2312" w:cs="仿宋_GB2312"/>
        </w:rPr>
      </w:pPr>
    </w:p>
    <w:sectPr>
      <w:footerReference r:id="rId5" w:type="default"/>
      <w:pgSz w:w="11906" w:h="16838"/>
      <w:pgMar w:top="2154" w:right="1474" w:bottom="1701" w:left="1474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Droid Sans Fallbac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等线">
    <w:altName w:val="华文仿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方正小标宋简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黑体_GBK">
    <w:altName w:val="方正小标宋简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MathJax_Vector">
    <w:panose1 w:val="02000603000000000000"/>
    <w:charset w:val="00"/>
    <w:family w:val="auto"/>
    <w:pitch w:val="default"/>
    <w:sig w:usb0="00000001" w:usb1="0000002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  <w:rPr>
        <w:rFonts w:hint="eastAsia"/>
      </w:rPr>
    </w:pPr>
  </w:p>
  <w:p>
    <w:pPr>
      <w:pStyle w:val="6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  <w:rPr>
        <w:rFonts w:hint="eastAsia"/>
      </w:rPr>
    </w:pPr>
  </w:p>
  <w:p>
    <w:pPr>
      <w:pStyle w:val="6"/>
      <w:rPr>
        <w:rFonts w:hint="eastAs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  <w:rPr>
        <w:rFonts w:hint="eastAsia"/>
      </w:rPr>
    </w:pPr>
    <w: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7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  <w:ind w:left="210" w:leftChars="100" w:right="210" w:rightChars="100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ind w:left="210" w:leftChars="100" w:right="210" w:rightChars="100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rect>
          </w:pict>
        </mc:Fallback>
      </mc:AlternateContent>
    </w:r>
  </w:p>
  <w:p>
    <w:pPr>
      <w:pStyle w:val="6"/>
      <w:rPr>
        <w:rFonts w:hint="eastAsi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809"/>
    <w:rsid w:val="00057649"/>
    <w:rsid w:val="000B0727"/>
    <w:rsid w:val="000E39DF"/>
    <w:rsid w:val="000E3A95"/>
    <w:rsid w:val="000F3119"/>
    <w:rsid w:val="00132E18"/>
    <w:rsid w:val="00182A7F"/>
    <w:rsid w:val="001E721A"/>
    <w:rsid w:val="0023088F"/>
    <w:rsid w:val="002A64CE"/>
    <w:rsid w:val="002E5B4B"/>
    <w:rsid w:val="00373520"/>
    <w:rsid w:val="003825CA"/>
    <w:rsid w:val="00476B61"/>
    <w:rsid w:val="0047796A"/>
    <w:rsid w:val="004D6FB3"/>
    <w:rsid w:val="005521D2"/>
    <w:rsid w:val="005A1F5A"/>
    <w:rsid w:val="005B04EA"/>
    <w:rsid w:val="005B7652"/>
    <w:rsid w:val="005C11B7"/>
    <w:rsid w:val="005D1A6E"/>
    <w:rsid w:val="006010DB"/>
    <w:rsid w:val="0061053B"/>
    <w:rsid w:val="00647EA5"/>
    <w:rsid w:val="00691477"/>
    <w:rsid w:val="006975D5"/>
    <w:rsid w:val="006B2624"/>
    <w:rsid w:val="006B6327"/>
    <w:rsid w:val="006C62FB"/>
    <w:rsid w:val="007715FC"/>
    <w:rsid w:val="007A2084"/>
    <w:rsid w:val="007E0A0E"/>
    <w:rsid w:val="007E33EA"/>
    <w:rsid w:val="007F5460"/>
    <w:rsid w:val="008E2EE0"/>
    <w:rsid w:val="00903609"/>
    <w:rsid w:val="00980201"/>
    <w:rsid w:val="009854DF"/>
    <w:rsid w:val="009F33E5"/>
    <w:rsid w:val="00A1443E"/>
    <w:rsid w:val="00A20E57"/>
    <w:rsid w:val="00AB49CE"/>
    <w:rsid w:val="00AD27B9"/>
    <w:rsid w:val="00BD40A6"/>
    <w:rsid w:val="00BE4D8D"/>
    <w:rsid w:val="00C10DA4"/>
    <w:rsid w:val="00C12C3D"/>
    <w:rsid w:val="00C32824"/>
    <w:rsid w:val="00CD6EF6"/>
    <w:rsid w:val="00D0345F"/>
    <w:rsid w:val="00D1614A"/>
    <w:rsid w:val="00E02492"/>
    <w:rsid w:val="00E2771B"/>
    <w:rsid w:val="00E91809"/>
    <w:rsid w:val="00EA4ABA"/>
    <w:rsid w:val="00EF4D69"/>
    <w:rsid w:val="00F31A50"/>
    <w:rsid w:val="00F60D31"/>
    <w:rsid w:val="00FA5CCC"/>
    <w:rsid w:val="00FD2A82"/>
    <w:rsid w:val="00FF749B"/>
    <w:rsid w:val="1ED5DB4A"/>
    <w:rsid w:val="1FB7BE35"/>
    <w:rsid w:val="3FDCA87A"/>
    <w:rsid w:val="5A7E895E"/>
    <w:rsid w:val="63EBAF59"/>
    <w:rsid w:val="6A5D892C"/>
    <w:rsid w:val="6BB5BA8B"/>
    <w:rsid w:val="6EF6ECBE"/>
    <w:rsid w:val="7BE79DA4"/>
    <w:rsid w:val="7E66A2F9"/>
    <w:rsid w:val="7FEE1A96"/>
    <w:rsid w:val="7FFBDBEF"/>
    <w:rsid w:val="ABD79A28"/>
    <w:rsid w:val="BA5CB08D"/>
    <w:rsid w:val="BE5E1304"/>
    <w:rsid w:val="BFF38C95"/>
    <w:rsid w:val="D3AED1F4"/>
    <w:rsid w:val="D6E6048D"/>
    <w:rsid w:val="DF7E5212"/>
    <w:rsid w:val="EF9BA886"/>
    <w:rsid w:val="F55A9A9F"/>
    <w:rsid w:val="F6FBF53F"/>
    <w:rsid w:val="FB7F5FC2"/>
    <w:rsid w:val="FDEF9CE4"/>
    <w:rsid w:val="FE5FF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宋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9"/>
    <w:pPr>
      <w:keepNext/>
      <w:keepLines/>
      <w:spacing w:before="340" w:after="330" w:line="578" w:lineRule="auto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semiHidden/>
    <w:unhideWhenUsed/>
    <w:qFormat/>
    <w:uiPriority w:val="9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paragraph" w:styleId="4">
    <w:name w:val="heading 3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qFormat/>
    <w:uiPriority w:val="39"/>
    <w:pPr>
      <w:ind w:left="840" w:leftChars="400"/>
    </w:pPr>
  </w:style>
  <w:style w:type="paragraph" w:styleId="6">
    <w:name w:val="footer"/>
    <w:basedOn w:val="1"/>
    <w:link w:val="15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1"/>
    <w:basedOn w:val="1"/>
    <w:next w:val="1"/>
    <w:qFormat/>
    <w:uiPriority w:val="39"/>
  </w:style>
  <w:style w:type="paragraph" w:styleId="9">
    <w:name w:val="toc 2"/>
    <w:basedOn w:val="1"/>
    <w:next w:val="1"/>
    <w:qFormat/>
    <w:uiPriority w:val="39"/>
    <w:pPr>
      <w:ind w:left="420" w:leftChars="200"/>
    </w:pPr>
  </w:style>
  <w:style w:type="paragraph" w:styleId="10">
    <w:name w:val="Normal (Web)"/>
    <w:basedOn w:val="1"/>
    <w:qFormat/>
    <w:uiPriority w:val="99"/>
    <w:rPr>
      <w:rFonts w:ascii="Times New Roman" w:hAnsi="Times New Roman" w:cs="Times New Roman"/>
      <w:sz w:val="24"/>
      <w:szCs w:val="24"/>
    </w:rPr>
  </w:style>
  <w:style w:type="character" w:styleId="13">
    <w:name w:val="Hyperlink"/>
    <w:basedOn w:val="12"/>
    <w:qFormat/>
    <w:uiPriority w:val="99"/>
    <w:rPr>
      <w:color w:val="467886"/>
      <w:u w:val="single"/>
    </w:rPr>
  </w:style>
  <w:style w:type="character" w:customStyle="1" w:styleId="14">
    <w:name w:val="页眉 字符"/>
    <w:basedOn w:val="12"/>
    <w:link w:val="7"/>
    <w:qFormat/>
    <w:uiPriority w:val="99"/>
    <w:rPr>
      <w:sz w:val="18"/>
      <w:szCs w:val="18"/>
    </w:rPr>
  </w:style>
  <w:style w:type="character" w:customStyle="1" w:styleId="15">
    <w:name w:val="页脚 字符"/>
    <w:basedOn w:val="12"/>
    <w:link w:val="6"/>
    <w:qFormat/>
    <w:uiPriority w:val="99"/>
    <w:rPr>
      <w:sz w:val="18"/>
      <w:szCs w:val="18"/>
    </w:rPr>
  </w:style>
  <w:style w:type="character" w:customStyle="1" w:styleId="16">
    <w:name w:val="标题 1 字符"/>
    <w:basedOn w:val="12"/>
    <w:link w:val="2"/>
    <w:qFormat/>
    <w:uiPriority w:val="0"/>
    <w:rPr>
      <w:rFonts w:ascii="Calibri" w:hAnsi="Calibri" w:eastAsia="宋体" w:cs="Times New Roman"/>
      <w:b/>
      <w:bCs/>
      <w:kern w:val="44"/>
      <w:sz w:val="44"/>
      <w:szCs w:val="44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character" w:customStyle="1" w:styleId="18">
    <w:name w:val="未处理的提及1"/>
    <w:basedOn w:val="12"/>
    <w:qFormat/>
    <w:uiPriority w:val="99"/>
    <w:rPr>
      <w:color w:val="605E5C"/>
      <w:shd w:val="clear" w:color="auto" w:fill="E1DFDD"/>
    </w:rPr>
  </w:style>
  <w:style w:type="paragraph" w:customStyle="1" w:styleId="19">
    <w:name w:val="修订1"/>
    <w:qFormat/>
    <w:uiPriority w:val="99"/>
    <w:rPr>
      <w:rFonts w:ascii="等线" w:hAnsi="等线" w:eastAsia="等线" w:cs="宋体"/>
      <w:kern w:val="2"/>
      <w:sz w:val="21"/>
      <w:szCs w:val="22"/>
      <w:lang w:val="en-US" w:eastAsia="zh-CN" w:bidi="ar-SA"/>
    </w:rPr>
  </w:style>
  <w:style w:type="character" w:customStyle="1" w:styleId="20">
    <w:name w:val="未处理的提及2"/>
    <w:basedOn w:val="12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21">
    <w:name w:val="Revision"/>
    <w:hidden/>
    <w:unhideWhenUsed/>
    <w:qFormat/>
    <w:uiPriority w:val="99"/>
    <w:rPr>
      <w:rFonts w:ascii="等线" w:hAnsi="等线" w:eastAsia="等线" w:cs="宋体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819</Words>
  <Characters>4670</Characters>
  <Lines>38</Lines>
  <Paragraphs>10</Paragraphs>
  <TotalTime>4</TotalTime>
  <ScaleCrop>false</ScaleCrop>
  <LinksUpToDate>false</LinksUpToDate>
  <CharactersWithSpaces>5479</CharactersWithSpaces>
  <Application>WPS Office_11.1.0.11719_F1E327BC-269C-435d-A152-05C5408002CA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2024-11-15T01:47:00Z</dcterms:created>
  <dc:creator>Administrator</dc:creator>
  <cp:lastModifiedBy>张丹</cp:lastModifiedBy>
  <dcterms:modified xsi:type="dcterms:W3CDTF">2025-02-26T09:56:37Z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2052-11.1.0.11719</vt:lpwstr>
  </property>
  <property fmtid="{D5CDD505-2E9C-101B-9397-08002B2CF9AE}" pid="3" name="ICV">
    <vt:lpwstr>efe6821107fd420c86707fb8207e1149_23</vt:lpwstr>
  </property>
</Properties>
</file>